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 w:line="240" w:lineRule="auto"/>
        <w:jc w:val="left"/>
      </w:pPr>
      <w:r>
        <w:rPr>
          <w:rFonts w:ascii="Arial" w:hAnsi="Arial" w:eastAsia="Arial"/>
          <w:b/>
          <w:i w:val="0"/>
          <w:color w:val="2E75B6"/>
          <w:sz w:val="17"/>
        </w:rPr>
        <w:t>ULUSLARARASI HASTA HİZMETLERİ  |  TÜRKÇE</w:t>
      </w:r>
    </w:p>
    <w:p>
      <w:pPr>
        <w:spacing w:before="0" w:after="20" w:line="240" w:lineRule="auto"/>
        <w:jc w:val="left"/>
      </w:pPr>
      <w:r>
        <w:rPr>
          <w:rFonts w:ascii="Arial" w:hAnsi="Arial" w:eastAsia="Arial"/>
          <w:b/>
          <w:i w:val="0"/>
          <w:color w:val="17365D"/>
          <w:sz w:val="31"/>
        </w:rPr>
        <w:t>EK-6 | ULUSLARARASI HASTA HİZMETLERİ İŞLEYİŞ REHBERİ</w:t>
      </w:r>
    </w:p>
    <w:p>
      <w:pPr>
        <w:spacing w:before="0" w:after="160" w:line="240" w:lineRule="auto"/>
        <w:jc w:val="left"/>
      </w:pPr>
      <w:r>
        <w:rPr>
          <w:rFonts w:ascii="Arial" w:hAnsi="Arial" w:eastAsia="Arial"/>
          <w:b w:val="0"/>
          <w:i/>
          <w:color w:val="666666"/>
          <w:sz w:val="18"/>
        </w:rPr>
        <w:t>Sayfa 1/6 - Hizmet kapsamı, başvuru türleri ve ilk iletişim</w:t>
      </w:r>
    </w:p>
    <w:tbl>
      <w:tblPr>
        <w:tblW w:type="dxa" w:w="9752"/>
        <w:tblLayout w:type="fixed"/>
        <w:tblLook w:firstColumn="1" w:firstRow="1" w:lastColumn="0" w:lastRow="0" w:noHBand="0" w:noVBand="1" w:val="04A0"/>
        <w:tblInd w:w="0" w:type="dxa"/>
      </w:tblPr>
      <w:tblGrid>
        <w:gridCol w:w="9752"/>
      </w:tblGrid>
      <w:tr>
        <w:tc>
          <w:tcPr>
            <w:tcW w:type="dxa" w:w="975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E7EFF7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365D"/>
                <w:sz w:val="17"/>
              </w:rPr>
              <w:t>Bu doküman, uluslararası hastanın ilk başvurusundan taburculuk sonrası takibine kadar sağlık tesisi tarafından yürütülen standart işleyişi açıklar. Hastaya özel tıbbi kararlar hekim tarafından verilir; aracı kuruluş tıbbi karar veremez.</w:t>
            </w:r>
          </w:p>
        </w:tc>
      </w:tr>
    </w:tbl>
    <w:p>
      <w:pPr>
        <w:spacing w:before="0" w:after="60" w:line="240" w:lineRule="auto"/>
        <w:jc w:val="left"/>
      </w:pPr>
      <w:r>
        <w:rPr>
          <w:rFonts w:ascii="Arial" w:hAnsi="Arial" w:eastAsia="Arial"/>
          <w:b w:val="0"/>
          <w:i w:val="0"/>
          <w:color w:val="1F1F1F"/>
          <w:sz w:val="18"/>
        </w:rPr>
      </w:r>
    </w:p>
    <w:tbl>
      <w:tblPr>
        <w:tblW w:type="dxa" w:w="975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752"/>
      </w:tblGrid>
      <w:tr>
        <w:tc>
          <w:tcPr>
            <w:tcW w:type="dxa" w:w="975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17365D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1. SUNULAN HİZMETLER VE KAPSAMI</w:t>
            </w:r>
          </w:p>
        </w:tc>
      </w:tr>
    </w:tbl>
    <w:p>
      <w:pPr>
        <w:spacing w:after="0" w:line="24" w:lineRule="auto"/>
      </w:pPr>
    </w:p>
    <w:p>
      <w:pPr>
        <w:spacing w:after="40" w:line="240" w:lineRule="auto"/>
      </w:pPr>
      <w:r>
        <w:rPr>
          <w:rFonts w:ascii="Arial" w:hAnsi="Arial" w:eastAsia="Arial"/>
          <w:b/>
          <w:i w:val="0"/>
          <w:color w:val="2E75B6"/>
          <w:sz w:val="18"/>
        </w:rPr>
        <w:t xml:space="preserve">Tıbbi hizmetler: </w:t>
      </w:r>
      <w:r>
        <w:rPr>
          <w:rFonts w:ascii="Arial" w:hAnsi="Arial" w:eastAsia="Arial"/>
          <w:b w:val="0"/>
          <w:i w:val="0"/>
          <w:color w:val="1F1F1F"/>
          <w:sz w:val="18"/>
        </w:rPr>
        <w:t>Uzman hekim değerlendirmesi, muayene, tanı, laboratuvar ve görüntüleme, cerrahi/medikal tedavi, anestezi, yatış, hemşirelik, rehabilitasyon, konsültasyon ve gerekli kontroller; sağlık tesisinin ruhsatı, uzman kadrosu ve fiziki kapasitesi ölçüsünde sunulur.</w:t>
      </w:r>
    </w:p>
    <w:p>
      <w:pPr>
        <w:spacing w:after="40" w:line="240" w:lineRule="auto"/>
      </w:pPr>
      <w:r>
        <w:rPr>
          <w:rFonts w:ascii="Arial" w:hAnsi="Arial" w:eastAsia="Arial"/>
          <w:b/>
          <w:i w:val="0"/>
          <w:color w:val="2E75B6"/>
          <w:sz w:val="18"/>
        </w:rPr>
        <w:t xml:space="preserve">Destek hizmetleri: </w:t>
      </w:r>
      <w:r>
        <w:rPr>
          <w:rFonts w:ascii="Arial" w:hAnsi="Arial" w:eastAsia="Arial"/>
          <w:b w:val="0"/>
          <w:i w:val="0"/>
          <w:color w:val="1F1F1F"/>
          <w:sz w:val="18"/>
        </w:rPr>
        <w:t>Yabancı dil/tercüman desteği, tıbbi dosya koordinasyonu, randevu planlama, fiyatlandırma bilgilendirmesi, ödeme koordinasyonu, refakatçi yönlendirmesi ve uygun iletişim kanallarının kurulması sağlanır.</w:t>
      </w:r>
    </w:p>
    <w:p>
      <w:pPr>
        <w:spacing w:after="60" w:line="240" w:lineRule="auto"/>
      </w:pPr>
      <w:r>
        <w:rPr>
          <w:rFonts w:ascii="Arial" w:hAnsi="Arial" w:eastAsia="Arial"/>
          <w:b/>
          <w:i w:val="0"/>
          <w:color w:val="2E75B6"/>
          <w:sz w:val="18"/>
        </w:rPr>
        <w:t xml:space="preserve">Kapsam sınırları: </w:t>
      </w:r>
      <w:r>
        <w:rPr>
          <w:rFonts w:ascii="Arial" w:hAnsi="Arial" w:eastAsia="Arial"/>
          <w:b w:val="0"/>
          <w:i w:val="0"/>
          <w:color w:val="1F1F1F"/>
          <w:sz w:val="18"/>
        </w:rPr>
        <w:t>Ön değerlendirme kesin tanı veya tedavi garantisi değildir. Tedavi planı, süre, yatış ve maliyet; yüz yüze değerlendirme, tetkikler ve klinik gerekliliklere göre değişebilir. Acil durumlar klinik önceliğe göre yönetilir.</w:t>
      </w:r>
    </w:p>
    <w:tbl>
      <w:tblPr>
        <w:tblW w:type="dxa" w:w="975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752"/>
      </w:tblGrid>
      <w:tr>
        <w:tc>
          <w:tcPr>
            <w:tcW w:type="dxa" w:w="975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17365D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2. BAŞVURU TÜRLERİNE GÖRE İŞLEYİŞ</w:t>
            </w:r>
          </w:p>
        </w:tc>
      </w:tr>
    </w:tbl>
    <w:p>
      <w:pPr>
        <w:spacing w:after="0" w:line="24" w:lineRule="auto"/>
      </w:pPr>
    </w:p>
    <w:tbl>
      <w:tblPr>
        <w:tblStyle w:val="TableGrid"/>
        <w:tblW w:type="dxa" w:w="975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1701"/>
        <w:gridCol w:w="3855"/>
        <w:gridCol w:w="4195"/>
      </w:tblGrid>
      <w:tr>
        <w:tc>
          <w:tcPr>
            <w:tcW w:type="dxa" w:w="1701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17365D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Başvuru Türü</w:t>
            </w:r>
          </w:p>
        </w:tc>
        <w:tc>
          <w:tcPr>
            <w:tcW w:type="dxa" w:w="385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17365D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İlk Temas ve Koordinasyon</w:t>
            </w:r>
          </w:p>
        </w:tc>
        <w:tc>
          <w:tcPr>
            <w:tcW w:type="dxa" w:w="419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17365D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Belge / Ödeme / İletişim</w:t>
            </w:r>
          </w:p>
        </w:tc>
      </w:tr>
      <w:tr>
        <w:tc>
          <w:tcPr>
            <w:tcW w:type="dxa" w:w="1701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F1F1F"/>
                <w:sz w:val="15"/>
              </w:rPr>
              <w:t>Doğrudan başvuru</w:t>
            </w:r>
          </w:p>
        </w:tc>
        <w:tc>
          <w:tcPr>
            <w:tcW w:type="dxa" w:w="385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1F1F"/>
                <w:sz w:val="15"/>
              </w:rPr>
              <w:t>Hasta veya yakını telefon, e-posta, web formu ya da yüz yüze başvurur. Uluslararası hasta birimi süreci doğrudan koordine eder.</w:t>
            </w:r>
          </w:p>
        </w:tc>
        <w:tc>
          <w:tcPr>
            <w:tcW w:type="dxa" w:w="419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1F1F"/>
                <w:sz w:val="15"/>
              </w:rPr>
              <w:t>Kimlik, sağlık kayıtları ve iletişim bilgileri hastadan alınır; teklif ve ödeme bilgisi doğrudan hastaya iletilir.</w:t>
            </w:r>
          </w:p>
        </w:tc>
      </w:tr>
      <w:tr>
        <w:tc>
          <w:tcPr>
            <w:tcW w:type="dxa" w:w="1701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F1F4F8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F1F1F"/>
                <w:sz w:val="15"/>
              </w:rPr>
              <w:t>Sağlık tesisinin</w:t>
              <w:br/>
              <w:t>kendi kanalı</w:t>
            </w:r>
          </w:p>
        </w:tc>
        <w:tc>
          <w:tcPr>
            <w:tcW w:type="dxa" w:w="385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F1F4F8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1F1F"/>
                <w:sz w:val="15"/>
              </w:rPr>
              <w:t>Tesisin çağrı merkezi, temsilcisi veya dijital kanalı başvuruyu kaydeder ve uluslararası hasta birimine aktarır.</w:t>
            </w:r>
          </w:p>
        </w:tc>
        <w:tc>
          <w:tcPr>
            <w:tcW w:type="dxa" w:w="419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F1F4F8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1F1F"/>
                <w:sz w:val="15"/>
              </w:rPr>
              <w:t>Hasta dosyası tek kayıt altında birleştirilir; yazışmalar yetkili kurumsal kanallardan yürütülür.</w:t>
            </w:r>
          </w:p>
        </w:tc>
      </w:tr>
      <w:tr>
        <w:tc>
          <w:tcPr>
            <w:tcW w:type="dxa" w:w="1701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F1F1F"/>
                <w:sz w:val="15"/>
              </w:rPr>
              <w:t>Aracı kuruluş</w:t>
              <w:br/>
              <w:t>üzerinden</w:t>
            </w:r>
          </w:p>
        </w:tc>
        <w:tc>
          <w:tcPr>
            <w:tcW w:type="dxa" w:w="385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1F1F"/>
                <w:sz w:val="15"/>
              </w:rPr>
              <w:t>Yetkili aracı kuruluş, hastanın onayıyla başvuru ve belgeleri tesise iletir. Tıbbi değerlendirme ve karar yalnızca sağlık tesisindedir.</w:t>
            </w:r>
          </w:p>
        </w:tc>
        <w:tc>
          <w:tcPr>
            <w:tcW w:type="dxa" w:w="4195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1F1F"/>
                <w:sz w:val="15"/>
              </w:rPr>
              <w:t>Aracının kapsamı, ücretleri ve sorumlulukları ayrı açıklanır; tıbbi bilgi paylaşımı hasta onayı ve veri güvenliği kurallarına göre yapılır.</w:t>
            </w:r>
          </w:p>
        </w:tc>
      </w:tr>
    </w:tbl>
    <w:p>
      <w:pPr>
        <w:spacing w:before="0" w:after="40" w:line="240" w:lineRule="auto"/>
        <w:jc w:val="left"/>
      </w:pPr>
      <w:r>
        <w:rPr>
          <w:rFonts w:ascii="Arial" w:hAnsi="Arial" w:eastAsia="Arial"/>
          <w:b w:val="0"/>
          <w:i w:val="0"/>
          <w:color w:val="1F1F1F"/>
          <w:sz w:val="18"/>
        </w:rPr>
      </w:r>
    </w:p>
    <w:tbl>
      <w:tblPr>
        <w:tblW w:type="dxa" w:w="975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752"/>
      </w:tblGrid>
      <w:tr>
        <w:tc>
          <w:tcPr>
            <w:tcW w:type="dxa" w:w="975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17365D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3. İLK BAŞVURUDA TOPLANAN BİLGİLER</w:t>
            </w:r>
          </w:p>
        </w:tc>
      </w:tr>
    </w:tbl>
    <w:p>
      <w:pPr>
        <w:spacing w:after="0" w:line="24" w:lineRule="auto"/>
      </w:pPr>
    </w:p>
    <w:p>
      <w:pPr>
        <w:spacing w:after="40" w:line="240" w:lineRule="auto"/>
      </w:pPr>
      <w:r>
        <w:rPr>
          <w:rFonts w:ascii="Arial" w:hAnsi="Arial" w:eastAsia="Arial"/>
          <w:b/>
          <w:i w:val="0"/>
          <w:color w:val="2E75B6"/>
          <w:sz w:val="18"/>
        </w:rPr>
        <w:t xml:space="preserve">Temel kayıt: </w:t>
      </w:r>
      <w:r>
        <w:rPr>
          <w:rFonts w:ascii="Arial" w:hAnsi="Arial" w:eastAsia="Arial"/>
          <w:b w:val="0"/>
          <w:i w:val="0"/>
          <w:color w:val="1F1F1F"/>
          <w:sz w:val="18"/>
        </w:rPr>
        <w:t>Ad-soyad, doğum tarihi, uyruk, pasaport/kimlik, iletişim dili, telefon/e-posta, bulunduğu ülke, refakatçi ve acil durum irtibatı alınır.</w:t>
      </w:r>
    </w:p>
    <w:p>
      <w:pPr>
        <w:spacing w:after="40" w:line="240" w:lineRule="auto"/>
      </w:pPr>
      <w:r>
        <w:rPr>
          <w:rFonts w:ascii="Arial" w:hAnsi="Arial" w:eastAsia="Arial"/>
          <w:b/>
          <w:i w:val="0"/>
          <w:color w:val="2E75B6"/>
          <w:sz w:val="18"/>
        </w:rPr>
        <w:t xml:space="preserve">Tıbbi dosya: </w:t>
      </w:r>
      <w:r>
        <w:rPr>
          <w:rFonts w:ascii="Arial" w:hAnsi="Arial" w:eastAsia="Arial"/>
          <w:b w:val="0"/>
          <w:i w:val="0"/>
          <w:color w:val="1F1F1F"/>
          <w:sz w:val="18"/>
        </w:rPr>
        <w:t>Şikâyet, tanılar, önceki tedaviler, ameliyatlar, ilaçlar, alerjiler, gebelik durumu, kronik hastalıklar, raporlar, görüntüler ve tetkikler güvenli kanalla temin edilir.</w:t>
      </w:r>
    </w:p>
    <w:p>
      <w:pPr>
        <w:spacing w:before="0" w:after="0" w:line="240" w:lineRule="auto"/>
        <w:jc w:val="left"/>
      </w:pPr>
      <w:r>
        <w:rPr>
          <w:rFonts w:ascii="Arial" w:hAnsi="Arial" w:eastAsia="Arial"/>
          <w:b w:val="0"/>
          <w:i/>
          <w:color w:val="666666"/>
          <w:sz w:val="16"/>
        </w:rPr>
        <w:t>Sağlık tesisi adı: ________________________________   Uluslararası Hasta Birimi: ________________________________</w:t>
      </w:r>
    </w:p>
    <w:p>
      <w:r>
        <w:br w:type="page"/>
      </w:r>
    </w:p>
    <w:p>
      <w:pPr>
        <w:spacing w:before="0" w:after="20" w:line="240" w:lineRule="auto"/>
        <w:jc w:val="left"/>
      </w:pPr>
      <w:r>
        <w:rPr>
          <w:rFonts w:ascii="Arial" w:hAnsi="Arial" w:eastAsia="Arial"/>
          <w:b/>
          <w:i w:val="0"/>
          <w:color w:val="2E75B6"/>
          <w:sz w:val="17"/>
        </w:rPr>
        <w:t>ULUSLARARASI HASTA HİZMETLERİ  |  TÜRKÇE</w:t>
      </w:r>
    </w:p>
    <w:p>
      <w:pPr>
        <w:spacing w:before="0" w:after="20" w:line="240" w:lineRule="auto"/>
        <w:jc w:val="left"/>
      </w:pPr>
      <w:r>
        <w:rPr>
          <w:rFonts w:ascii="Arial" w:hAnsi="Arial" w:eastAsia="Arial"/>
          <w:b/>
          <w:i w:val="0"/>
          <w:color w:val="17365D"/>
          <w:sz w:val="31"/>
        </w:rPr>
        <w:t>EK-6 | HASTA KABULÜ, BİLGİLENDİRME VE TEDAVİ SÜRECİ</w:t>
      </w:r>
    </w:p>
    <w:p>
      <w:pPr>
        <w:spacing w:before="0" w:after="160" w:line="240" w:lineRule="auto"/>
        <w:jc w:val="left"/>
      </w:pPr>
      <w:r>
        <w:rPr>
          <w:rFonts w:ascii="Arial" w:hAnsi="Arial" w:eastAsia="Arial"/>
          <w:b w:val="0"/>
          <w:i/>
          <w:color w:val="666666"/>
          <w:sz w:val="18"/>
        </w:rPr>
        <w:t>Sayfa 2/6 - Ön değerlendirme, kayıt, onam ve klinik koordinasyon</w:t>
      </w:r>
    </w:p>
    <w:tbl>
      <w:tblPr>
        <w:tblW w:type="dxa" w:w="975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752"/>
      </w:tblGrid>
      <w:tr>
        <w:tc>
          <w:tcPr>
            <w:tcW w:type="dxa" w:w="975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17365D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4. HASTA KABUL İŞLEMLERİ</w:t>
            </w:r>
          </w:p>
        </w:tc>
      </w:tr>
    </w:tbl>
    <w:p>
      <w:pPr>
        <w:spacing w:after="0" w:line="24" w:lineRule="auto"/>
      </w:pPr>
    </w:p>
    <w:p>
      <w:pPr>
        <w:spacing w:after="40" w:line="240" w:lineRule="auto"/>
      </w:pPr>
      <w:r>
        <w:rPr>
          <w:rFonts w:ascii="Arial" w:hAnsi="Arial" w:eastAsia="Arial"/>
          <w:b/>
          <w:i w:val="0"/>
          <w:color w:val="2E75B6"/>
          <w:sz w:val="18"/>
        </w:rPr>
        <w:t xml:space="preserve">Ön değerlendirme: </w:t>
      </w:r>
      <w:r>
        <w:rPr>
          <w:rFonts w:ascii="Arial" w:hAnsi="Arial" w:eastAsia="Arial"/>
          <w:b w:val="0"/>
          <w:i w:val="0"/>
          <w:color w:val="1F1F1F"/>
          <w:sz w:val="18"/>
        </w:rPr>
        <w:t>Belgeler ilgili hekim/bölüme iletilir. Ek tetkik ihtiyacı, muhtemel tedavi seçenekleri, yaklaşık süre, riskli durumlar ve yüz yüze değerlendirme gerekliliği belirlenir. Uygun olmayan veya tesis kapsamı dışındaki başvurular yönlendirilir.</w:t>
      </w:r>
    </w:p>
    <w:p>
      <w:pPr>
        <w:spacing w:after="40" w:line="240" w:lineRule="auto"/>
      </w:pPr>
      <w:r>
        <w:rPr>
          <w:rFonts w:ascii="Arial" w:hAnsi="Arial" w:eastAsia="Arial"/>
          <w:b/>
          <w:i w:val="0"/>
          <w:color w:val="2E75B6"/>
          <w:sz w:val="18"/>
        </w:rPr>
        <w:t xml:space="preserve">Planlama ve teklif: </w:t>
      </w:r>
      <w:r>
        <w:rPr>
          <w:rFonts w:ascii="Arial" w:hAnsi="Arial" w:eastAsia="Arial"/>
          <w:b w:val="0"/>
          <w:i w:val="0"/>
          <w:color w:val="1F1F1F"/>
          <w:sz w:val="18"/>
        </w:rPr>
        <w:t>Randevu/yatış tarihi, tahmini hizmet kapsamı, fiyat teklifi, pakete dahil-hariç kalemler, ön ödeme/iptal koşulları ve olası ek maliyetler yazılı olarak bildirilir. Tıbbi gereklilik nedeniyle planın değişebileceği açıklanır.</w:t>
      </w:r>
    </w:p>
    <w:p>
      <w:pPr>
        <w:spacing w:after="40" w:line="240" w:lineRule="auto"/>
      </w:pPr>
      <w:r>
        <w:rPr>
          <w:rFonts w:ascii="Arial" w:hAnsi="Arial" w:eastAsia="Arial"/>
          <w:b/>
          <w:i w:val="0"/>
          <w:color w:val="2E75B6"/>
          <w:sz w:val="18"/>
        </w:rPr>
        <w:t xml:space="preserve">Tesise kabul: </w:t>
      </w:r>
      <w:r>
        <w:rPr>
          <w:rFonts w:ascii="Arial" w:hAnsi="Arial" w:eastAsia="Arial"/>
          <w:b w:val="0"/>
          <w:i w:val="0"/>
          <w:color w:val="1F1F1F"/>
          <w:sz w:val="18"/>
        </w:rPr>
        <w:t>Kimlik doğrulama, pasaport ve iletişim bilgilerinin kontrolü, dosya açılması, ödeme/teminat işlemleri, tercüman ihtiyacının teyidi, bileklik/oda işlemleri ve ilgili klinik birime yönlendirme yapılır.</w:t>
      </w:r>
    </w:p>
    <w:p>
      <w:pPr>
        <w:spacing w:after="60" w:line="240" w:lineRule="auto"/>
      </w:pPr>
      <w:r>
        <w:rPr>
          <w:rFonts w:ascii="Arial" w:hAnsi="Arial" w:eastAsia="Arial"/>
          <w:b/>
          <w:i w:val="0"/>
          <w:color w:val="2E75B6"/>
          <w:sz w:val="18"/>
        </w:rPr>
        <w:t xml:space="preserve">Aracı kuruluşlu kabul: </w:t>
      </w:r>
      <w:r>
        <w:rPr>
          <w:rFonts w:ascii="Arial" w:hAnsi="Arial" w:eastAsia="Arial"/>
          <w:b w:val="0"/>
          <w:i w:val="0"/>
          <w:color w:val="1F1F1F"/>
          <w:sz w:val="18"/>
        </w:rPr>
        <w:t>Hasta kimliği ve onamı doğrudan hasta ile doğrulanır; aracı tarafından iletilen plan ve ödeme bilgisi tesis kayıtlarıyla karşılaştırılır. Tıbbi görüşme mümkün olduğunca hasta ile doğrudan ve tercüman desteğiyle yürütülür.</w:t>
      </w:r>
    </w:p>
    <w:tbl>
      <w:tblPr>
        <w:tblW w:type="dxa" w:w="975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752"/>
      </w:tblGrid>
      <w:tr>
        <w:tc>
          <w:tcPr>
            <w:tcW w:type="dxa" w:w="975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17365D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5. HASTA VE HASTA YAKINLARININ BİLGİLENDİRİLMESİ</w:t>
            </w:r>
          </w:p>
        </w:tc>
      </w:tr>
    </w:tbl>
    <w:p>
      <w:pPr>
        <w:spacing w:after="0" w:line="24" w:lineRule="auto"/>
      </w:pPr>
    </w:p>
    <w:p>
      <w:pPr>
        <w:spacing w:after="40" w:line="240" w:lineRule="auto"/>
      </w:pPr>
      <w:r>
        <w:rPr>
          <w:rFonts w:ascii="Arial" w:hAnsi="Arial" w:eastAsia="Arial"/>
          <w:b/>
          <w:i w:val="0"/>
          <w:color w:val="2E75B6"/>
          <w:sz w:val="18"/>
        </w:rPr>
        <w:t xml:space="preserve">Dil ve yöntem: </w:t>
      </w:r>
      <w:r>
        <w:rPr>
          <w:rFonts w:ascii="Arial" w:hAnsi="Arial" w:eastAsia="Arial"/>
          <w:b w:val="0"/>
          <w:i w:val="0"/>
          <w:color w:val="1F1F1F"/>
          <w:sz w:val="18"/>
        </w:rPr>
        <w:t>Bilgilendirme hastanın anlayabildiği dilde, açık ve sade biçimde yapılır. Gerektiğinde yetkin tercüman kullanılır; tercümanın kimliği ve bilgilendirme kaydı dosyada yer alır.</w:t>
      </w:r>
    </w:p>
    <w:p>
      <w:pPr>
        <w:spacing w:after="40" w:line="240" w:lineRule="auto"/>
      </w:pPr>
      <w:r>
        <w:rPr>
          <w:rFonts w:ascii="Arial" w:hAnsi="Arial" w:eastAsia="Arial"/>
          <w:b/>
          <w:i w:val="0"/>
          <w:color w:val="2E75B6"/>
          <w:sz w:val="18"/>
        </w:rPr>
        <w:t xml:space="preserve">Bilgilendirme kapsamı: </w:t>
      </w:r>
      <w:r>
        <w:rPr>
          <w:rFonts w:ascii="Arial" w:hAnsi="Arial" w:eastAsia="Arial"/>
          <w:b w:val="0"/>
          <w:i w:val="0"/>
          <w:color w:val="1F1F1F"/>
          <w:sz w:val="18"/>
        </w:rPr>
        <w:t>Tanı/ön tanı, önerilen işlem, amaç, beklenen yarar, önemli riskler, alternatifler, tedaviyi reddetmenin sonuçları, tahmini süre, iyileşme, ilaçlar, ziyaret/refakat kuralları, ücretler, mahremiyet, hasta hakları, şikâyet ve acil iletişim yolları açıklanır.</w:t>
      </w:r>
    </w:p>
    <w:p>
      <w:pPr>
        <w:spacing w:after="60" w:line="240" w:lineRule="auto"/>
      </w:pPr>
      <w:r>
        <w:rPr>
          <w:rFonts w:ascii="Arial" w:hAnsi="Arial" w:eastAsia="Arial"/>
          <w:b/>
          <w:i w:val="0"/>
          <w:color w:val="2E75B6"/>
          <w:sz w:val="18"/>
        </w:rPr>
        <w:t xml:space="preserve">Onam: </w:t>
      </w:r>
      <w:r>
        <w:rPr>
          <w:rFonts w:ascii="Arial" w:hAnsi="Arial" w:eastAsia="Arial"/>
          <w:b w:val="0"/>
          <w:i w:val="0"/>
          <w:color w:val="1F1F1F"/>
          <w:sz w:val="18"/>
        </w:rPr>
        <w:t>Hasta soru sorma ve karar verme fırsatı bulduktan sonra ilgili aydınlatılmış onam belgeleri imzalanır. Plan değişirse veya ek işlem gerekirse yeniden bilgilendirme ve gerekli ek onam alınır.</w:t>
      </w:r>
    </w:p>
    <w:tbl>
      <w:tblPr>
        <w:tblW w:type="dxa" w:w="975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752"/>
      </w:tblGrid>
      <w:tr>
        <w:tc>
          <w:tcPr>
            <w:tcW w:type="dxa" w:w="975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17365D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6. KABUL SONRASI TEDAVİ HİZMETLERİ</w:t>
            </w:r>
          </w:p>
        </w:tc>
      </w:tr>
    </w:tbl>
    <w:p>
      <w:pPr>
        <w:spacing w:after="0" w:line="24" w:lineRule="auto"/>
      </w:pPr>
    </w:p>
    <w:p>
      <w:pPr>
        <w:spacing w:after="40" w:line="240" w:lineRule="auto"/>
      </w:pPr>
      <w:r>
        <w:rPr>
          <w:rFonts w:ascii="Arial" w:hAnsi="Arial" w:eastAsia="Arial"/>
          <w:b/>
          <w:i w:val="0"/>
          <w:color w:val="2E75B6"/>
          <w:sz w:val="18"/>
        </w:rPr>
        <w:t xml:space="preserve">Klinik değerlendirme: </w:t>
      </w:r>
      <w:r>
        <w:rPr>
          <w:rFonts w:ascii="Arial" w:hAnsi="Arial" w:eastAsia="Arial"/>
          <w:b w:val="0"/>
          <w:i w:val="0"/>
          <w:color w:val="1F1F1F"/>
          <w:sz w:val="18"/>
        </w:rPr>
        <w:t>Hekim muayenesi, tıbbi öykü, ilaç-alerji kontrolü, tetkikler, konsültasyonlar ve anestezi değerlendirmesi tamamlanır; kesin tedavi planı hasta ile paylaşılır.</w:t>
      </w:r>
    </w:p>
    <w:p>
      <w:pPr>
        <w:spacing w:after="40" w:line="240" w:lineRule="auto"/>
      </w:pPr>
      <w:r>
        <w:rPr>
          <w:rFonts w:ascii="Arial" w:hAnsi="Arial" w:eastAsia="Arial"/>
          <w:b/>
          <w:i w:val="0"/>
          <w:color w:val="2E75B6"/>
          <w:sz w:val="18"/>
        </w:rPr>
        <w:t xml:space="preserve">Tedavinin yürütülmesi: </w:t>
      </w:r>
      <w:r>
        <w:rPr>
          <w:rFonts w:ascii="Arial" w:hAnsi="Arial" w:eastAsia="Arial"/>
          <w:b w:val="0"/>
          <w:i w:val="0"/>
          <w:color w:val="1F1F1F"/>
          <w:sz w:val="18"/>
        </w:rPr>
        <w:t>Kimlik ve işlem doğrulaması, güvenli cerrahi/ilaç uygulamaları, enfeksiyon önlemleri, ağrı yönetimi, beslenme ve hemşirelik bakımı uygulanır. Klinik bulgular ve yapılan işlemler hasta dosyasına kaydedilir.</w:t>
      </w:r>
    </w:p>
    <w:p>
      <w:pPr>
        <w:spacing w:after="40" w:line="240" w:lineRule="auto"/>
      </w:pPr>
      <w:r>
        <w:rPr>
          <w:rFonts w:ascii="Arial" w:hAnsi="Arial" w:eastAsia="Arial"/>
          <w:b/>
          <w:i w:val="0"/>
          <w:color w:val="2E75B6"/>
          <w:sz w:val="18"/>
        </w:rPr>
        <w:t xml:space="preserve">Koordinasyon: </w:t>
      </w:r>
      <w:r>
        <w:rPr>
          <w:rFonts w:ascii="Arial" w:hAnsi="Arial" w:eastAsia="Arial"/>
          <w:b w:val="0"/>
          <w:i w:val="0"/>
          <w:color w:val="1F1F1F"/>
          <w:sz w:val="18"/>
        </w:rPr>
        <w:t>Uluslararası hasta birimi klinik ekip, tercüman, hasta/refakatçi ve varsa aracı kuruluş arasındaki idari iletişimi sağlar. Tıbbi bilgi yalnızca yetkili sağlık profesyoneli tarafından açıklanır.</w:t>
      </w:r>
    </w:p>
    <w:p>
      <w:pPr>
        <w:spacing w:after="40" w:line="240" w:lineRule="auto"/>
      </w:pPr>
      <w:r>
        <w:rPr>
          <w:rFonts w:ascii="Arial" w:hAnsi="Arial" w:eastAsia="Arial"/>
          <w:b/>
          <w:i w:val="0"/>
          <w:color w:val="2E75B6"/>
          <w:sz w:val="18"/>
        </w:rPr>
        <w:t xml:space="preserve">Plan değişikliği: </w:t>
      </w:r>
      <w:r>
        <w:rPr>
          <w:rFonts w:ascii="Arial" w:hAnsi="Arial" w:eastAsia="Arial"/>
          <w:b w:val="0"/>
          <w:i w:val="0"/>
          <w:color w:val="1F1F1F"/>
          <w:sz w:val="18"/>
        </w:rPr>
        <w:t>Komplikasyon, ek tetkik, uzayan yatış veya farklı tedavi ihtiyacında hasta; tıbbi gerekçe, risk, süre ve maliyet etkisi konusunda gecikmeden bilgilendirilir.</w:t>
      </w:r>
    </w:p>
    <w:p>
      <w:pPr>
        <w:spacing w:before="0" w:after="0" w:line="240" w:lineRule="auto"/>
        <w:jc w:val="left"/>
      </w:pPr>
      <w:r>
        <w:rPr>
          <w:rFonts w:ascii="Arial" w:hAnsi="Arial" w:eastAsia="Arial"/>
          <w:b w:val="0"/>
          <w:i/>
          <w:color w:val="666666"/>
          <w:sz w:val="16"/>
        </w:rPr>
        <w:t>Hasta hakları, mahremiyet ve veri güvenliği tüm başvuru türlerinde aynı standartla korunur.</w:t>
      </w:r>
    </w:p>
    <w:p>
      <w:r>
        <w:br w:type="page"/>
      </w:r>
    </w:p>
    <w:p>
      <w:pPr>
        <w:spacing w:before="0" w:after="20" w:line="240" w:lineRule="auto"/>
        <w:jc w:val="left"/>
      </w:pPr>
      <w:r>
        <w:rPr>
          <w:rFonts w:ascii="Arial" w:hAnsi="Arial" w:eastAsia="Arial"/>
          <w:b/>
          <w:i w:val="0"/>
          <w:color w:val="2E75B6"/>
          <w:sz w:val="17"/>
        </w:rPr>
        <w:t>ULUSLARARASI HASTA HİZMETLERİ  |  TÜRKÇE</w:t>
      </w:r>
    </w:p>
    <w:p>
      <w:pPr>
        <w:spacing w:before="0" w:after="20" w:line="240" w:lineRule="auto"/>
        <w:jc w:val="left"/>
      </w:pPr>
      <w:r>
        <w:rPr>
          <w:rFonts w:ascii="Arial" w:hAnsi="Arial" w:eastAsia="Arial"/>
          <w:b/>
          <w:i w:val="0"/>
          <w:color w:val="17365D"/>
          <w:sz w:val="31"/>
        </w:rPr>
        <w:t>EK-6 | DESTEK HİZMETLERİ, TABURCULUK VE TAKİP</w:t>
      </w:r>
    </w:p>
    <w:p>
      <w:pPr>
        <w:spacing w:before="0" w:after="160" w:line="240" w:lineRule="auto"/>
        <w:jc w:val="left"/>
      </w:pPr>
      <w:r>
        <w:rPr>
          <w:rFonts w:ascii="Arial" w:hAnsi="Arial" w:eastAsia="Arial"/>
          <w:b w:val="0"/>
          <w:i/>
          <w:color w:val="666666"/>
          <w:sz w:val="18"/>
        </w:rPr>
        <w:t>Sayfa 3/6 - Seyahat-konaklama koordinasyonu, güvenli çıkış ve süreklilik</w:t>
      </w:r>
    </w:p>
    <w:tbl>
      <w:tblPr>
        <w:tblW w:type="dxa" w:w="975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752"/>
      </w:tblGrid>
      <w:tr>
        <w:tc>
          <w:tcPr>
            <w:tcW w:type="dxa" w:w="975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17365D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7. TEDAVİ DIŞI HİZMETLERİN KAPSAMI VE YÜRÜTÜLMESİ</w:t>
            </w:r>
          </w:p>
        </w:tc>
      </w:tr>
    </w:tbl>
    <w:p>
      <w:pPr>
        <w:spacing w:after="0" w:line="24" w:lineRule="auto"/>
      </w:pPr>
    </w:p>
    <w:p>
      <w:pPr>
        <w:spacing w:after="40" w:line="240" w:lineRule="auto"/>
      </w:pPr>
      <w:r>
        <w:rPr>
          <w:rFonts w:ascii="Arial" w:hAnsi="Arial" w:eastAsia="Arial"/>
          <w:b/>
          <w:i w:val="0"/>
          <w:color w:val="2E75B6"/>
          <w:sz w:val="18"/>
        </w:rPr>
        <w:t xml:space="preserve">Kapsam: </w:t>
      </w:r>
      <w:r>
        <w:rPr>
          <w:rFonts w:ascii="Arial" w:hAnsi="Arial" w:eastAsia="Arial"/>
          <w:b w:val="0"/>
          <w:i w:val="0"/>
          <w:color w:val="1F1F1F"/>
          <w:sz w:val="18"/>
        </w:rPr>
        <w:t>Talebe göre vize davet/tedavi teyit yazısı, havaalanı/şehir içi transfer, konaklama seçenekleri, refakatçi düzenlemeleri, tercüman, yerel ulaşım ve randevu koordinasyonu konusunda destek verilebilir.</w:t>
      </w:r>
    </w:p>
    <w:p>
      <w:pPr>
        <w:spacing w:after="40" w:line="240" w:lineRule="auto"/>
      </w:pPr>
      <w:r>
        <w:rPr>
          <w:rFonts w:ascii="Arial" w:hAnsi="Arial" w:eastAsia="Arial"/>
          <w:b/>
          <w:i w:val="0"/>
          <w:color w:val="2E75B6"/>
          <w:sz w:val="18"/>
        </w:rPr>
        <w:t xml:space="preserve">Sorumluluk ayrımı: </w:t>
      </w:r>
      <w:r>
        <w:rPr>
          <w:rFonts w:ascii="Arial" w:hAnsi="Arial" w:eastAsia="Arial"/>
          <w:b w:val="0"/>
          <w:i w:val="0"/>
          <w:color w:val="1F1F1F"/>
          <w:sz w:val="18"/>
        </w:rPr>
        <w:t>Sağlık tesisi yalnızca kendi sağladığı hizmetlerden sorumludur. Otel, havayolu, transfer firması veya aracı kuruluş tarafından verilen hizmetlerin sağlayıcısı, bedeli, iptal/iade koşulları ve iletişim bilgileri hastaya açıkça bildirilir.</w:t>
      </w:r>
    </w:p>
    <w:p>
      <w:pPr>
        <w:spacing w:after="60" w:line="240" w:lineRule="auto"/>
      </w:pPr>
      <w:r>
        <w:rPr>
          <w:rFonts w:ascii="Arial" w:hAnsi="Arial" w:eastAsia="Arial"/>
          <w:b/>
          <w:i w:val="0"/>
          <w:color w:val="2E75B6"/>
          <w:sz w:val="18"/>
        </w:rPr>
        <w:t xml:space="preserve">Tıbbi uygunluk: </w:t>
      </w:r>
      <w:r>
        <w:rPr>
          <w:rFonts w:ascii="Arial" w:hAnsi="Arial" w:eastAsia="Arial"/>
          <w:b w:val="0"/>
          <w:i w:val="0"/>
          <w:color w:val="1F1F1F"/>
          <w:sz w:val="18"/>
        </w:rPr>
        <w:t>Seyahat ve konaklama planı tedavi tarihleri, hareket kısıtlılığı, enfeksiyon riski, uçuşa uygunluk ve kontrol gereksinimi dikkate alınarak yapılır. Nihai seyahat kararı hekim önerisi ve taşıyıcı kurallarına göre şekillenir.</w:t>
      </w:r>
    </w:p>
    <w:tbl>
      <w:tblPr>
        <w:tblW w:type="dxa" w:w="975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752"/>
      </w:tblGrid>
      <w:tr>
        <w:tc>
          <w:tcPr>
            <w:tcW w:type="dxa" w:w="975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17365D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8. HASTANIN TABURCULUK SÜRECİ</w:t>
            </w:r>
          </w:p>
        </w:tc>
      </w:tr>
    </w:tbl>
    <w:p>
      <w:pPr>
        <w:spacing w:after="0" w:line="24" w:lineRule="auto"/>
      </w:pPr>
    </w:p>
    <w:p>
      <w:pPr>
        <w:spacing w:after="40" w:line="240" w:lineRule="auto"/>
      </w:pPr>
      <w:r>
        <w:rPr>
          <w:rFonts w:ascii="Arial" w:hAnsi="Arial" w:eastAsia="Arial"/>
          <w:b/>
          <w:i w:val="0"/>
          <w:color w:val="2E75B6"/>
          <w:sz w:val="18"/>
        </w:rPr>
        <w:t xml:space="preserve">Taburculuk kararı: </w:t>
      </w:r>
      <w:r>
        <w:rPr>
          <w:rFonts w:ascii="Arial" w:hAnsi="Arial" w:eastAsia="Arial"/>
          <w:b w:val="0"/>
          <w:i w:val="0"/>
          <w:color w:val="1F1F1F"/>
          <w:sz w:val="18"/>
        </w:rPr>
        <w:t>Sorumlu hekim klinik durumu değerlendirir; taburculuk kriterleri sağlanmadan hasta çıkarılmaz. Tıbbi engel veya beklenmeyen durum varsa hasta ve yakını bilgilendirilir.</w:t>
      </w:r>
    </w:p>
    <w:p>
      <w:pPr>
        <w:spacing w:after="40" w:line="240" w:lineRule="auto"/>
      </w:pPr>
      <w:r>
        <w:rPr>
          <w:rFonts w:ascii="Arial" w:hAnsi="Arial" w:eastAsia="Arial"/>
          <w:b/>
          <w:i w:val="0"/>
          <w:color w:val="2E75B6"/>
          <w:sz w:val="18"/>
        </w:rPr>
        <w:t xml:space="preserve">Teslim edilen bilgi ve belgeler: </w:t>
      </w:r>
      <w:r>
        <w:rPr>
          <w:rFonts w:ascii="Arial" w:hAnsi="Arial" w:eastAsia="Arial"/>
          <w:b w:val="0"/>
          <w:i w:val="0"/>
          <w:color w:val="1F1F1F"/>
          <w:sz w:val="18"/>
        </w:rPr>
        <w:t>Epikriz, işlem/ameliyat raporu, tetkik sonuçları, reçete ve ilaç planı, pansuman-bakım talimatı, beslenme/aktivite kısıtları, cihaz-malzemelerin kullanımı, alarm belirtileri, kontrol randevusu ve iletişim bilgileri verilir.</w:t>
      </w:r>
    </w:p>
    <w:p>
      <w:pPr>
        <w:spacing w:after="40" w:line="240" w:lineRule="auto"/>
      </w:pPr>
      <w:r>
        <w:rPr>
          <w:rFonts w:ascii="Arial" w:hAnsi="Arial" w:eastAsia="Arial"/>
          <w:b/>
          <w:i w:val="0"/>
          <w:color w:val="2E75B6"/>
          <w:sz w:val="18"/>
        </w:rPr>
        <w:t xml:space="preserve">Anlama kontrolü: </w:t>
      </w:r>
      <w:r>
        <w:rPr>
          <w:rFonts w:ascii="Arial" w:hAnsi="Arial" w:eastAsia="Arial"/>
          <w:b w:val="0"/>
          <w:i w:val="0"/>
          <w:color w:val="1F1F1F"/>
          <w:sz w:val="18"/>
        </w:rPr>
        <w:t>Bilgiler hastanın dilinde açıklanır; hasta/refakatçiden önemli talimatları tekrar etmesi istenir. Tercüman kullanıldıysa kayıt altına alınır. Raporların çeviri veya dijital kopya yöntemi açıklanır.</w:t>
      </w:r>
    </w:p>
    <w:p>
      <w:pPr>
        <w:spacing w:after="60" w:line="240" w:lineRule="auto"/>
      </w:pPr>
      <w:r>
        <w:rPr>
          <w:rFonts w:ascii="Arial" w:hAnsi="Arial" w:eastAsia="Arial"/>
          <w:b/>
          <w:i w:val="0"/>
          <w:color w:val="2E75B6"/>
          <w:sz w:val="18"/>
        </w:rPr>
        <w:t xml:space="preserve">Mali ve lojistik kapanış: </w:t>
      </w:r>
      <w:r>
        <w:rPr>
          <w:rFonts w:ascii="Arial" w:hAnsi="Arial" w:eastAsia="Arial"/>
          <w:b w:val="0"/>
          <w:i w:val="0"/>
          <w:color w:val="1F1F1F"/>
          <w:sz w:val="18"/>
        </w:rPr>
        <w:t>Nihai hesap, ek hizmetler, fatura/makbuz, emanet-kiralık cihazların iade planı, transfer ve konaklama çıkışı netleştirilir.</w:t>
      </w:r>
    </w:p>
    <w:tbl>
      <w:tblPr>
        <w:tblW w:type="dxa" w:w="975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752"/>
      </w:tblGrid>
      <w:tr>
        <w:tc>
          <w:tcPr>
            <w:tcW w:type="dxa" w:w="975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17365D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9. TABURCULUK SONRASI TAKİP</w:t>
            </w:r>
          </w:p>
        </w:tc>
      </w:tr>
    </w:tbl>
    <w:p>
      <w:pPr>
        <w:spacing w:after="0" w:line="24" w:lineRule="auto"/>
      </w:pPr>
    </w:p>
    <w:p>
      <w:pPr>
        <w:spacing w:after="40" w:line="240" w:lineRule="auto"/>
      </w:pPr>
      <w:r>
        <w:rPr>
          <w:rFonts w:ascii="Arial" w:hAnsi="Arial" w:eastAsia="Arial"/>
          <w:b/>
          <w:i w:val="0"/>
          <w:color w:val="2E75B6"/>
          <w:sz w:val="18"/>
        </w:rPr>
        <w:t xml:space="preserve">Takip planı: </w:t>
      </w:r>
      <w:r>
        <w:rPr>
          <w:rFonts w:ascii="Arial" w:hAnsi="Arial" w:eastAsia="Arial"/>
          <w:b w:val="0"/>
          <w:i w:val="0"/>
          <w:color w:val="1F1F1F"/>
          <w:sz w:val="18"/>
        </w:rPr>
        <w:t>Kontrol tarihi, yöntemi (yüz yüze/telefon/video), sorumlu klinik, gönderilecek fotoğraf-tetkik-ölçümler ve yanıt süresi taburculukta belirlenir.</w:t>
      </w:r>
    </w:p>
    <w:p>
      <w:pPr>
        <w:spacing w:after="40" w:line="240" w:lineRule="auto"/>
      </w:pPr>
      <w:r>
        <w:rPr>
          <w:rFonts w:ascii="Arial" w:hAnsi="Arial" w:eastAsia="Arial"/>
          <w:b/>
          <w:i w:val="0"/>
          <w:color w:val="2E75B6"/>
          <w:sz w:val="18"/>
        </w:rPr>
        <w:t xml:space="preserve">Uzaktan takip: </w:t>
      </w:r>
      <w:r>
        <w:rPr>
          <w:rFonts w:ascii="Arial" w:hAnsi="Arial" w:eastAsia="Arial"/>
          <w:b w:val="0"/>
          <w:i w:val="0"/>
          <w:color w:val="1F1F1F"/>
          <w:sz w:val="18"/>
        </w:rPr>
        <w:t>Kimlik doğrulaması yapılarak güvenli iletişim kanalı kullanılır. Semptomlar, yara, ilaç uyumu, yan etkiler ve cihaz sonuçları değerlendirilir; görüşme ve öneriler hasta dosyasına kaydedilir.</w:t>
      </w:r>
    </w:p>
    <w:p>
      <w:pPr>
        <w:spacing w:after="40" w:line="240" w:lineRule="auto"/>
      </w:pPr>
      <w:r>
        <w:rPr>
          <w:rFonts w:ascii="Arial" w:hAnsi="Arial" w:eastAsia="Arial"/>
          <w:b/>
          <w:i w:val="0"/>
          <w:color w:val="2E75B6"/>
          <w:sz w:val="18"/>
        </w:rPr>
        <w:t xml:space="preserve">Acil ve plansız durum: </w:t>
      </w:r>
      <w:r>
        <w:rPr>
          <w:rFonts w:ascii="Arial" w:hAnsi="Arial" w:eastAsia="Arial"/>
          <w:b w:val="0"/>
          <w:i w:val="0"/>
          <w:color w:val="1F1F1F"/>
          <w:sz w:val="18"/>
        </w:rPr>
        <w:t>Acil belirtiler önceden açıklanır. Hasta bulunduğu ülkedeki acil servise başvurması gerektiğinde gecikmemeli; sonrasında tesisi bilgilendirmelidir. Gerekirse yerel hekimle, hasta onayıyla tıbbi bilgi paylaşılır.</w:t>
      </w:r>
    </w:p>
    <w:p>
      <w:pPr>
        <w:spacing w:after="60" w:line="240" w:lineRule="auto"/>
      </w:pPr>
      <w:r>
        <w:rPr>
          <w:rFonts w:ascii="Arial" w:hAnsi="Arial" w:eastAsia="Arial"/>
          <w:b/>
          <w:i w:val="0"/>
          <w:color w:val="2E75B6"/>
          <w:sz w:val="18"/>
        </w:rPr>
        <w:t xml:space="preserve">Şikâyet ve geri bildirim: </w:t>
      </w:r>
      <w:r>
        <w:rPr>
          <w:rFonts w:ascii="Arial" w:hAnsi="Arial" w:eastAsia="Arial"/>
          <w:b w:val="0"/>
          <w:i w:val="0"/>
          <w:color w:val="1F1F1F"/>
          <w:sz w:val="18"/>
        </w:rPr>
        <w:t>Hasta; hizmet, faturalama, iletişim veya aracı kuruluşla ilgili geri bildirimini tesisin hasta hakları/uluslararası hasta birimine iletebilir. Başvuru kayıt altına alınır, değerlendirilir ve sonucu bildirilir.</w:t>
      </w:r>
    </w:p>
    <w:tbl>
      <w:tblPr>
        <w:tblStyle w:val="TableGrid"/>
        <w:tblW w:type="dxa" w:w="975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2721"/>
        <w:gridCol w:w="7030"/>
      </w:tblGrid>
      <w:tr>
        <w:tc>
          <w:tcPr>
            <w:tcW w:type="dxa" w:w="2721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17365D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İletişim Kanalı</w:t>
            </w:r>
          </w:p>
        </w:tc>
        <w:tc>
          <w:tcPr>
            <w:tcW w:type="dxa" w:w="703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17365D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Bilgi</w:t>
            </w:r>
          </w:p>
        </w:tc>
      </w:tr>
      <w:tr>
        <w:tc>
          <w:tcPr>
            <w:tcW w:type="dxa" w:w="2721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F1F1F"/>
                <w:sz w:val="15"/>
              </w:rPr>
              <w:t>Sağlık tesisi / Birim</w:t>
            </w:r>
          </w:p>
        </w:tc>
        <w:tc>
          <w:tcPr>
            <w:tcW w:type="dxa" w:w="703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1F1F"/>
                <w:sz w:val="15"/>
              </w:rPr>
              <w:t>____________________________________________</w:t>
            </w:r>
          </w:p>
        </w:tc>
      </w:tr>
      <w:tr>
        <w:tc>
          <w:tcPr>
            <w:tcW w:type="dxa" w:w="2721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F1F4F8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F1F1F"/>
                <w:sz w:val="15"/>
              </w:rPr>
              <w:t>Telefon / WhatsApp</w:t>
            </w:r>
          </w:p>
        </w:tc>
        <w:tc>
          <w:tcPr>
            <w:tcW w:type="dxa" w:w="703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F1F4F8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1F1F"/>
                <w:sz w:val="15"/>
              </w:rPr>
              <w:t>____________________________________________</w:t>
            </w:r>
          </w:p>
        </w:tc>
      </w:tr>
      <w:tr>
        <w:tc>
          <w:tcPr>
            <w:tcW w:type="dxa" w:w="2721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F1F1F"/>
                <w:sz w:val="15"/>
              </w:rPr>
              <w:t>E-posta / Çalışma saati</w:t>
            </w:r>
          </w:p>
        </w:tc>
        <w:tc>
          <w:tcPr>
            <w:tcW w:type="dxa" w:w="703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1F1F"/>
                <w:sz w:val="15"/>
              </w:rPr>
              <w:t>____________________________________________</w:t>
            </w:r>
          </w:p>
        </w:tc>
      </w:tr>
      <w:tr>
        <w:tc>
          <w:tcPr>
            <w:tcW w:type="dxa" w:w="2721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F1F4F8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F1F1F"/>
                <w:sz w:val="15"/>
              </w:rPr>
              <w:t>Acil durumda</w:t>
            </w:r>
          </w:p>
        </w:tc>
        <w:tc>
          <w:tcPr>
            <w:tcW w:type="dxa" w:w="7030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  <w:shd w:fill="F1F4F8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F1F1F"/>
                <w:sz w:val="15"/>
              </w:rPr>
              <w:t>Bulunduğunuz ülkenin acil yardım hizmetine başvurunuz.</w:t>
            </w:r>
          </w:p>
        </w:tc>
      </w:tr>
    </w:tbl>
    <w:sectPr w:rsidR="00FC693F" w:rsidRPr="0006063C" w:rsidSect="00034616">
      <w:pgSz w:w="11906" w:h="16838"/>
      <w:pgMar w:top="822" w:right="822" w:bottom="765" w:left="822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EK-6 Uluslararası Hasta Hizmetleri İşleyiş Rehberi İlk 3 Sayfa</dc:title>
  <dc:subject>PDF ilk üç sayfanın düzenlenebilir Word aktarımı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